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center"/>
      </w:pPr>
      <w:r>
        <w:rPr>
          <w:rFonts w:ascii="Comic Sans MS" w:hAnsi="Comic Sans MS"/>
          <w:b w:val="1"/>
          <w:bCs w:val="1"/>
          <w:sz w:val="28"/>
          <w:szCs w:val="28"/>
          <w:u w:val="single"/>
          <w:rtl w:val="0"/>
          <w:lang w:val="en-US"/>
        </w:rPr>
        <w:t>KIRTLINGTON PRE</w:t>
      </w:r>
      <w:r>
        <w:rPr>
          <w:rFonts w:ascii="Comic Sans MS" w:hAnsi="Comic Sans MS"/>
          <w:b w:val="1"/>
          <w:bCs w:val="1"/>
          <w:sz w:val="28"/>
          <w:szCs w:val="28"/>
          <w:u w:val="single"/>
          <w:rtl w:val="0"/>
          <w:lang w:val="en-US"/>
        </w:rPr>
        <w:t>-</w:t>
      </w:r>
      <w:r>
        <w:rPr>
          <w:rFonts w:ascii="Comic Sans MS" w:hAnsi="Comic Sans MS"/>
          <w:b w:val="1"/>
          <w:bCs w:val="1"/>
          <w:sz w:val="28"/>
          <w:szCs w:val="28"/>
          <w:u w:val="single"/>
          <w:rtl w:val="0"/>
          <w:lang w:val="en-US"/>
        </w:rPr>
        <w:t xml:space="preserve">SCHOOL </w:t>
      </w:r>
      <w:r>
        <w:rPr>
          <w:rFonts w:ascii="Comic Sans MS" w:hAnsi="Comic Sans MS"/>
          <w:b w:val="1"/>
          <w:bCs w:val="1"/>
          <w:sz w:val="28"/>
          <w:szCs w:val="28"/>
          <w:u w:val="single"/>
          <w:rtl w:val="0"/>
          <w:lang w:val="en-US"/>
        </w:rPr>
        <w:t>POLICY</w:t>
      </w:r>
    </w:p>
    <w:p>
      <w:pPr>
        <w:pStyle w:val="Normal.0"/>
        <w:spacing w:line="360" w:lineRule="auto"/>
        <w:jc w:val="center"/>
      </w:pPr>
    </w:p>
    <w:p>
      <w:pPr>
        <w:pStyle w:val="Normal.0"/>
        <w:spacing w:line="360" w:lineRule="auto"/>
      </w:pPr>
      <w:r>
        <w:rPr>
          <w:rFonts w:ascii="Comic Sans MS" w:hAnsi="Comic Sans MS"/>
          <w:b w:val="1"/>
          <w:bCs w:val="1"/>
          <w:sz w:val="28"/>
          <w:szCs w:val="28"/>
          <w:u w:val="single"/>
          <w:rtl w:val="0"/>
          <w:lang w:val="en-US"/>
        </w:rPr>
        <w:t>6.6 F</w:t>
      </w:r>
      <w:r>
        <w:rPr>
          <w:rFonts w:ascii="Comic Sans MS" w:hAnsi="Comic Sans MS"/>
          <w:b w:val="1"/>
          <w:bCs w:val="1"/>
          <w:sz w:val="28"/>
          <w:szCs w:val="28"/>
          <w:u w:val="single"/>
          <w:rtl w:val="0"/>
          <w:lang w:val="en-US"/>
        </w:rPr>
        <w:t>OOD HYGIENE</w:t>
      </w:r>
    </w:p>
    <w:p>
      <w:pPr>
        <w:pStyle w:val="Normal.0"/>
        <w:spacing w:line="360" w:lineRule="auto"/>
      </w:pPr>
    </w:p>
    <w:p>
      <w:pPr>
        <w:pStyle w:val="Normal.0"/>
        <w:spacing w:line="360" w:lineRule="auto"/>
      </w:pPr>
      <w:r>
        <w:rPr>
          <w:rFonts w:ascii="Comic Sans MS" w:hAnsi="Comic Sans MS"/>
          <w:b w:val="1"/>
          <w:bCs w:val="1"/>
          <w:sz w:val="22"/>
          <w:szCs w:val="22"/>
          <w:rtl w:val="0"/>
          <w:lang w:val="en-US"/>
        </w:rPr>
        <w:t>Policy statement</w:t>
      </w:r>
    </w:p>
    <w:p>
      <w:pPr>
        <w:pStyle w:val="Normal.0"/>
        <w:spacing w:line="360" w:lineRule="auto"/>
      </w:pPr>
    </w:p>
    <w:p>
      <w:pPr>
        <w:pStyle w:val="Normal.0"/>
        <w:spacing w:line="360" w:lineRule="auto"/>
      </w:pPr>
      <w:r>
        <w:rPr>
          <w:rFonts w:ascii="Comic Sans MS" w:hAnsi="Comic Sans MS"/>
          <w:sz w:val="22"/>
          <w:szCs w:val="22"/>
          <w:rtl w:val="0"/>
          <w:lang w:val="en-US"/>
        </w:rPr>
        <w:t>We provide and/or serve food for children on the following basis:</w:t>
      </w:r>
    </w:p>
    <w:p>
      <w:pPr>
        <w:pStyle w:val="List Paragraph"/>
        <w:numPr>
          <w:ilvl w:val="0"/>
          <w:numId w:val="2"/>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Snacks.</w:t>
      </w:r>
    </w:p>
    <w:p>
      <w:pPr>
        <w:pStyle w:val="List Paragraph"/>
        <w:numPr>
          <w:ilvl w:val="0"/>
          <w:numId w:val="2"/>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Meals.</w:t>
      </w:r>
    </w:p>
    <w:p>
      <w:pPr>
        <w:pStyle w:val="List Paragraph"/>
        <w:spacing w:line="360" w:lineRule="auto"/>
        <w:ind w:left="360" w:firstLine="0"/>
      </w:pPr>
    </w:p>
    <w:p>
      <w:pPr>
        <w:pStyle w:val="Normal.0"/>
        <w:spacing w:line="360" w:lineRule="auto"/>
      </w:pPr>
      <w:r>
        <w:rPr>
          <w:rFonts w:ascii="Comic Sans MS" w:hAnsi="Comic Sans MS"/>
          <w:sz w:val="22"/>
          <w:szCs w:val="22"/>
          <w:rtl w:val="0"/>
          <w:lang w:val="en-US"/>
        </w:rPr>
        <w:t>We maintain the highest possible food hygiene standards with regard to the purchase, storage, preparation and serving of food.</w:t>
      </w:r>
    </w:p>
    <w:p>
      <w:pPr>
        <w:pStyle w:val="Normal.0"/>
        <w:spacing w:line="360" w:lineRule="auto"/>
      </w:pPr>
    </w:p>
    <w:p>
      <w:pPr>
        <w:pStyle w:val="Normal.0"/>
        <w:spacing w:line="360" w:lineRule="auto"/>
      </w:pPr>
      <w:r>
        <w:rPr>
          <w:rFonts w:ascii="Comic Sans MS" w:hAnsi="Comic Sans MS"/>
          <w:b w:val="1"/>
          <w:bCs w:val="1"/>
          <w:sz w:val="22"/>
          <w:szCs w:val="22"/>
          <w:rtl w:val="0"/>
          <w:lang w:val="en-US"/>
        </w:rPr>
        <w:t>Procedures</w:t>
      </w:r>
    </w:p>
    <w:p>
      <w:pPr>
        <w:pStyle w:val="Normal.0"/>
        <w:spacing w:line="360" w:lineRule="auto"/>
        <w:ind w:left="360" w:firstLine="0"/>
      </w:pPr>
    </w:p>
    <w:p>
      <w:pPr>
        <w:pStyle w:val="List Paragraph"/>
        <w:numPr>
          <w:ilvl w:val="0"/>
          <w:numId w:val="4"/>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Our staff with responsibility for food preparation understand the principles of Hazard Analysis and Critical Control Point (HACCP) as it applies to our setting. This is set out in Safer Food, Better Business [for Caterers (</w:t>
      </w:r>
      <w:r>
        <w:rPr>
          <w:rFonts w:ascii="Comic Sans MS" w:hAnsi="Comic Sans MS"/>
          <w:sz w:val="22"/>
          <w:szCs w:val="22"/>
          <w:rtl w:val="0"/>
          <w:lang w:val="en-US"/>
        </w:rPr>
        <w:t>for groups)</w:t>
      </w:r>
      <w:r>
        <w:rPr>
          <w:rFonts w:ascii="Comic Sans MS" w:hAnsi="Comic Sans MS"/>
          <w:sz w:val="22"/>
          <w:szCs w:val="22"/>
          <w:rtl w:val="0"/>
          <w:lang w:val="en-US"/>
        </w:rPr>
        <w:t>/for Childminders (</w:t>
      </w:r>
      <w:r>
        <w:rPr>
          <w:rFonts w:ascii="Comic Sans MS" w:hAnsi="Comic Sans MS"/>
          <w:sz w:val="22"/>
          <w:szCs w:val="22"/>
          <w:rtl w:val="0"/>
          <w:lang w:val="en-US"/>
        </w:rPr>
        <w:t>which groups will also find helpful)</w:t>
      </w:r>
      <w:r>
        <w:rPr>
          <w:rFonts w:ascii="Comic Sans MS" w:hAnsi="Comic Sans MS"/>
          <w:sz w:val="22"/>
          <w:szCs w:val="22"/>
          <w:rtl w:val="0"/>
          <w:lang w:val="en-US"/>
        </w:rPr>
        <w:t>] (Food Standards Agency 2011). The basis for this is risk assessment of the purchase, storage, preparation and serving of food to prevent growth of bacteria and food contamination.</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All our staff follow the guidelines of Safer Food, Better Business.</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All our staff who are involved in the preparation and handling of food have received training in food hygiene.</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Food is stored at correct temperatures and is checked to ensure it is in-date and not subject to contamination by pests, rodents or mould.</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Food preparation areas are cleaned before and after use.</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There are separate facilities for hand-washing and for washing-up.</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All surfaces are clean and non-porous.</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All utensils, crockery etc. are clean and stored appropriately.</w:t>
      </w:r>
    </w:p>
    <w:p>
      <w:pPr>
        <w:pStyle w:val="List Paragraph"/>
        <w:numPr>
          <w:ilvl w:val="0"/>
          <w:numId w:val="6"/>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Waste food is disposed of daily.</w:t>
      </w:r>
    </w:p>
    <w:p>
      <w:pPr>
        <w:pStyle w:val="List Paragraph"/>
        <w:numPr>
          <w:ilvl w:val="0"/>
          <w:numId w:val="8"/>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Cleaning materials and other dangerous materials are stored out of children's reach.</w:t>
      </w:r>
    </w:p>
    <w:p>
      <w:pPr>
        <w:pStyle w:val="List Paragraph"/>
        <w:numPr>
          <w:ilvl w:val="0"/>
          <w:numId w:val="8"/>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Children do not have unsupervised access to the kitchen.</w:t>
      </w:r>
    </w:p>
    <w:p>
      <w:pPr>
        <w:pStyle w:val="List Paragraph"/>
        <w:numPr>
          <w:ilvl w:val="0"/>
          <w:numId w:val="8"/>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When children take part in cooking activities, they:</w:t>
      </w:r>
    </w:p>
    <w:p>
      <w:pPr>
        <w:pStyle w:val="List Paragraph"/>
        <w:numPr>
          <w:ilvl w:val="0"/>
          <w:numId w:val="10"/>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are supervised at all times;</w:t>
      </w:r>
    </w:p>
    <w:p>
      <w:pPr>
        <w:pStyle w:val="List Paragraph"/>
        <w:numPr>
          <w:ilvl w:val="0"/>
          <w:numId w:val="10"/>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understand the importance of hand-washing and simple hygiene rules;</w:t>
      </w:r>
    </w:p>
    <w:p>
      <w:pPr>
        <w:pStyle w:val="List Paragraph"/>
        <w:numPr>
          <w:ilvl w:val="0"/>
          <w:numId w:val="10"/>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are kept away from hot surfaces and hot water; and</w:t>
      </w:r>
    </w:p>
    <w:p>
      <w:pPr>
        <w:pStyle w:val="List Paragraph"/>
        <w:numPr>
          <w:ilvl w:val="0"/>
          <w:numId w:val="10"/>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do not have unsupervised access to electrical equipment, such as blenders etc.</w:t>
      </w:r>
    </w:p>
    <w:p>
      <w:pPr>
        <w:pStyle w:val="List Paragraph"/>
        <w:spacing w:line="360" w:lineRule="auto"/>
        <w:ind w:left="0" w:firstLine="0"/>
      </w:pPr>
    </w:p>
    <w:p>
      <w:pPr>
        <w:pStyle w:val="List Paragraph"/>
        <w:spacing w:line="360" w:lineRule="auto"/>
        <w:ind w:left="0" w:firstLine="0"/>
      </w:pPr>
      <w:r>
        <w:rPr>
          <w:rFonts w:ascii="Comic Sans MS" w:hAnsi="Comic Sans MS"/>
          <w:sz w:val="22"/>
          <w:szCs w:val="22"/>
          <w:rtl w:val="0"/>
          <w:lang w:val="en-US"/>
        </w:rPr>
        <w:t>Reporting of food poisoning</w:t>
      </w:r>
    </w:p>
    <w:p>
      <w:pPr>
        <w:pStyle w:val="List Paragraph"/>
        <w:spacing w:line="360" w:lineRule="auto"/>
        <w:ind w:left="0" w:firstLine="0"/>
      </w:pPr>
      <w:r>
        <w:rPr>
          <w:rFonts w:ascii="Comic Sans MS" w:hAnsi="Comic Sans MS"/>
          <w:sz w:val="22"/>
          <w:szCs w:val="22"/>
          <w:rtl w:val="0"/>
          <w:lang w:val="en-US"/>
        </w:rPr>
        <w:t>Food poisoning can occur for a number of reasons; not all cases of sickness or diarrhoea are as a result of food poisoning and not all cases of sickness or diarrhoea are reportable.</w:t>
      </w:r>
    </w:p>
    <w:p>
      <w:pPr>
        <w:pStyle w:val="List Paragraph"/>
        <w:numPr>
          <w:ilvl w:val="0"/>
          <w:numId w:val="8"/>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pPr>
        <w:pStyle w:val="List Paragraph"/>
        <w:numPr>
          <w:ilvl w:val="0"/>
          <w:numId w:val="8"/>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We notify Ofsted as soon as reasonably practicable of any confirmed cases of food poisoning affecting two or more children looked after on the premises, and always within 14 days of the incident.</w:t>
      </w:r>
    </w:p>
    <w:p>
      <w:pPr>
        <w:pStyle w:val="List Paragraph"/>
        <w:spacing w:line="360" w:lineRule="auto"/>
        <w:ind w:left="0" w:firstLine="0"/>
      </w:pPr>
    </w:p>
    <w:p>
      <w:pPr>
        <w:pStyle w:val="List Paragraph"/>
        <w:spacing w:line="360" w:lineRule="auto"/>
        <w:ind w:left="0" w:firstLine="0"/>
      </w:pPr>
      <w:r>
        <w:rPr>
          <w:rFonts w:ascii="Comic Sans MS" w:hAnsi="Comic Sans MS"/>
          <w:b w:val="1"/>
          <w:bCs w:val="1"/>
          <w:sz w:val="22"/>
          <w:szCs w:val="22"/>
          <w:rtl w:val="0"/>
          <w:lang w:val="en-US"/>
        </w:rPr>
        <w:t>Legal framework</w:t>
      </w:r>
    </w:p>
    <w:p>
      <w:pPr>
        <w:pStyle w:val="List Paragraph"/>
        <w:spacing w:line="360" w:lineRule="auto"/>
        <w:ind w:left="0" w:firstLine="0"/>
      </w:pPr>
    </w:p>
    <w:p>
      <w:pPr>
        <w:pStyle w:val="List Paragraph"/>
        <w:numPr>
          <w:ilvl w:val="0"/>
          <w:numId w:val="8"/>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Regulation (EC) 852/2004 of the European Parliament and of the Council on the Hygiene of Foodstuffs</w:t>
      </w:r>
    </w:p>
    <w:p>
      <w:pPr>
        <w:pStyle w:val="Normal.0"/>
        <w:spacing w:line="360" w:lineRule="auto"/>
      </w:pPr>
    </w:p>
    <w:p>
      <w:pPr>
        <w:pStyle w:val="Normal.0"/>
        <w:spacing w:line="360" w:lineRule="auto"/>
      </w:pPr>
      <w:r>
        <w:rPr>
          <w:rFonts w:ascii="Comic Sans MS" w:hAnsi="Comic Sans MS"/>
          <w:b w:val="1"/>
          <w:bCs w:val="1"/>
          <w:sz w:val="22"/>
          <w:szCs w:val="22"/>
          <w:rtl w:val="0"/>
          <w:lang w:val="en-US"/>
        </w:rPr>
        <w:t>Further guidance</w:t>
      </w:r>
    </w:p>
    <w:p>
      <w:pPr>
        <w:pStyle w:val="Normal.0"/>
        <w:spacing w:line="360" w:lineRule="auto"/>
      </w:pPr>
    </w:p>
    <w:p>
      <w:pPr>
        <w:pStyle w:val="List Paragraph"/>
        <w:numPr>
          <w:ilvl w:val="0"/>
          <w:numId w:val="8"/>
        </w:numPr>
        <w:bidi w:val="0"/>
        <w:spacing w:line="360" w:lineRule="auto"/>
        <w:ind w:right="0"/>
        <w:jc w:val="left"/>
        <w:rPr>
          <w:rFonts w:ascii="Comic Sans MS" w:hAnsi="Comic Sans MS"/>
          <w:sz w:val="22"/>
          <w:szCs w:val="22"/>
          <w:rtl w:val="0"/>
          <w:lang w:val="en-US"/>
        </w:rPr>
      </w:pPr>
      <w:r>
        <w:rPr>
          <w:rFonts w:ascii="Comic Sans MS" w:hAnsi="Comic Sans MS"/>
          <w:sz w:val="22"/>
          <w:szCs w:val="22"/>
          <w:rtl w:val="0"/>
          <w:lang w:val="en-US"/>
        </w:rPr>
        <w:t>Safer Food Better Business (Food Standards Agency 2011)</w:t>
      </w:r>
      <w:r>
        <w:rPr>
          <w:rFonts w:ascii="Arial Unicode MS" w:cs="Arial Unicode MS" w:hAnsi="Arial Unicode MS" w:eastAsia="Arial Unicode MS"/>
          <w:b w:val="0"/>
          <w:bCs w:val="0"/>
          <w:i w:val="0"/>
          <w:iCs w:val="0"/>
          <w:sz w:val="22"/>
          <w:szCs w:val="22"/>
        </w:rPr>
        <w:br w:type="textWrapping"/>
      </w:r>
    </w:p>
    <w:tbl>
      <w:tblPr>
        <w:tblW w:w="1098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57"/>
        <w:gridCol w:w="3829"/>
        <w:gridCol w:w="2103"/>
      </w:tblGrid>
      <w:tr>
        <w:tblPrEx>
          <w:shd w:val="clear" w:color="auto" w:fill="ced7e7"/>
        </w:tblPrEx>
        <w:trPr>
          <w:trHeight w:val="310" w:hRule="atLeast"/>
        </w:trPr>
        <w:tc>
          <w:tcPr>
            <w:tcW w:type="dxa" w:w="505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Fonts w:ascii="Arial" w:hAnsi="Arial"/>
                <w:sz w:val="22"/>
                <w:szCs w:val="22"/>
                <w:rtl w:val="0"/>
                <w:lang w:val="en-US"/>
              </w:rPr>
              <w:t>This policy was adopted by</w:t>
            </w:r>
          </w:p>
        </w:tc>
        <w:tc>
          <w:tcPr>
            <w:tcW w:type="dxa" w:w="3829"/>
            <w:tcBorders>
              <w:top w:val="nil"/>
              <w:left w:val="nil"/>
              <w:bottom w:val="single" w:color="7030a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Kirtlington Preschool</w:t>
            </w:r>
          </w:p>
        </w:tc>
        <w:tc>
          <w:tcPr>
            <w:tcW w:type="dxa" w:w="210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05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Fonts w:ascii="Arial" w:hAnsi="Arial"/>
                <w:sz w:val="22"/>
                <w:szCs w:val="22"/>
                <w:rtl w:val="0"/>
                <w:lang w:val="en-US"/>
              </w:rPr>
              <w:t>On</w:t>
            </w:r>
          </w:p>
        </w:tc>
        <w:tc>
          <w:tcPr>
            <w:tcW w:type="dxa" w:w="3829"/>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March 2018</w:t>
            </w:r>
          </w:p>
        </w:tc>
        <w:tc>
          <w:tcPr>
            <w:tcW w:type="dxa" w:w="210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05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Fonts w:ascii="Arial" w:hAnsi="Arial"/>
                <w:sz w:val="22"/>
                <w:szCs w:val="22"/>
                <w:rtl w:val="0"/>
                <w:lang w:val="en-US"/>
              </w:rPr>
              <w:t>Date to be reviewed</w:t>
            </w:r>
          </w:p>
        </w:tc>
        <w:tc>
          <w:tcPr>
            <w:tcW w:type="dxa" w:w="3829"/>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March 2019</w:t>
            </w:r>
          </w:p>
        </w:tc>
        <w:tc>
          <w:tcPr>
            <w:tcW w:type="dxa" w:w="2103"/>
            <w:tcBorders>
              <w:top w:val="nil"/>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05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Fonts w:ascii="Arial" w:hAnsi="Arial"/>
                <w:sz w:val="22"/>
                <w:szCs w:val="22"/>
                <w:rtl w:val="0"/>
                <w:lang w:val="en-US"/>
              </w:rPr>
              <w:t>Signed on behalf of the provider</w:t>
            </w:r>
          </w:p>
        </w:tc>
        <w:tc>
          <w:tcPr>
            <w:tcW w:type="dxa" w:w="5932"/>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05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Fonts w:ascii="Arial" w:hAnsi="Arial"/>
                <w:sz w:val="22"/>
                <w:szCs w:val="22"/>
                <w:rtl w:val="0"/>
                <w:lang w:val="en-US"/>
              </w:rPr>
              <w:t>Name of signatory</w:t>
            </w:r>
          </w:p>
        </w:tc>
        <w:tc>
          <w:tcPr>
            <w:tcW w:type="dxa" w:w="5932"/>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05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Fonts w:ascii="Arial" w:hAnsi="Arial"/>
                <w:sz w:val="22"/>
                <w:szCs w:val="22"/>
                <w:rtl w:val="0"/>
                <w:lang w:val="en-US"/>
              </w:rPr>
              <w:t>Role of signatory (e.g. chair/owner)</w:t>
            </w:r>
          </w:p>
        </w:tc>
        <w:tc>
          <w:tcPr>
            <w:tcW w:type="dxa" w:w="5932"/>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bl>
    <w:p>
      <w:pPr>
        <w:pStyle w:val="List Paragraph"/>
        <w:widowControl w:val="0"/>
        <w:numPr>
          <w:ilvl w:val="0"/>
          <w:numId w:val="11"/>
        </w:numPr>
        <w:rPr>
          <w:rFonts w:ascii="Comic Sans MS" w:cs="Comic Sans MS" w:hAnsi="Comic Sans MS" w:eastAsia="Comic Sans MS"/>
        </w:rPr>
      </w:pPr>
      <w:r>
        <w:rPr>
          <w:rFonts w:ascii="Comic Sans MS" w:cs="Comic Sans MS" w:hAnsi="Comic Sans MS" w:eastAsia="Comic Sans MS"/>
        </w:rPr>
      </w:r>
    </w:p>
    <w:sectPr>
      <w:headerReference w:type="default" r:id="rId4"/>
      <w:headerReference w:type="first" r:id="rId5"/>
      <w:footerReference w:type="default" r:id="rId6"/>
      <w:footerReference w:type="first" r:id="rId7"/>
      <w:pgSz w:w="11900" w:h="16840" w:orient="portrait"/>
      <w:pgMar w:top="567" w:right="567" w:bottom="567" w:left="567"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57" w:hanging="357"/>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79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51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323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95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67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39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611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837" w:hanging="72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21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43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64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1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43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15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87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59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31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03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75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474" w:hanging="357"/>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lvl w:ilvl="0">
        <w:start w:val="1"/>
        <w:numFmt w:val="bullet"/>
        <w:suff w:val="tab"/>
        <w:lvlText w:val="▪"/>
        <w:lvlJc w:val="left"/>
        <w:pPr>
          <w:tabs>
            <w:tab w:val="num" w:pos="393"/>
          </w:tabs>
          <w:ind w:left="60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start w:val="1"/>
        <w:numFmt w:val="bullet"/>
        <w:suff w:val="tab"/>
        <w:lvlText w:val="o"/>
        <w:lvlJc w:val="left"/>
        <w:pPr>
          <w:tabs>
            <w:tab w:val="num" w:pos="1113"/>
          </w:tabs>
          <w:ind w:left="132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start w:val="1"/>
        <w:numFmt w:val="bullet"/>
        <w:suff w:val="tab"/>
        <w:lvlText w:val="▪"/>
        <w:lvlJc w:val="left"/>
        <w:pPr>
          <w:tabs>
            <w:tab w:val="num" w:pos="1833"/>
          </w:tabs>
          <w:ind w:left="204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start w:val="1"/>
        <w:numFmt w:val="bullet"/>
        <w:suff w:val="tab"/>
        <w:lvlText w:val="•"/>
        <w:lvlJc w:val="left"/>
        <w:pPr>
          <w:tabs>
            <w:tab w:val="num" w:pos="2553"/>
          </w:tabs>
          <w:ind w:left="276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start w:val="1"/>
        <w:numFmt w:val="bullet"/>
        <w:suff w:val="tab"/>
        <w:lvlText w:val="o"/>
        <w:lvlJc w:val="left"/>
        <w:pPr>
          <w:tabs>
            <w:tab w:val="num" w:pos="3273"/>
          </w:tabs>
          <w:ind w:left="348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start w:val="1"/>
        <w:numFmt w:val="bullet"/>
        <w:suff w:val="tab"/>
        <w:lvlText w:val="▪"/>
        <w:lvlJc w:val="left"/>
        <w:pPr>
          <w:tabs>
            <w:tab w:val="num" w:pos="3993"/>
          </w:tabs>
          <w:ind w:left="420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start w:val="1"/>
        <w:numFmt w:val="bullet"/>
        <w:suff w:val="tab"/>
        <w:lvlText w:val="•"/>
        <w:lvlJc w:val="left"/>
        <w:pPr>
          <w:tabs>
            <w:tab w:val="num" w:pos="4713"/>
          </w:tabs>
          <w:ind w:left="492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start w:val="1"/>
        <w:numFmt w:val="bullet"/>
        <w:suff w:val="tab"/>
        <w:lvlText w:val="o"/>
        <w:lvlJc w:val="left"/>
        <w:pPr>
          <w:tabs>
            <w:tab w:val="num" w:pos="5433"/>
          </w:tabs>
          <w:ind w:left="564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start w:val="1"/>
        <w:numFmt w:val="bullet"/>
        <w:suff w:val="tab"/>
        <w:lvlText w:val="▪"/>
        <w:lvlJc w:val="left"/>
        <w:pPr>
          <w:tabs>
            <w:tab w:val="num" w:pos="6153"/>
          </w:tabs>
          <w:ind w:left="6369" w:hanging="609"/>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